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CA9" w:rsidRPr="00246D72" w:rsidRDefault="002B4CA9" w:rsidP="00246D72">
      <w:pPr>
        <w:spacing w:line="240" w:lineRule="exact"/>
        <w:rPr>
          <w:rFonts w:ascii="微软雅黑" w:eastAsia="微软雅黑" w:hAnsi="微软雅黑" w:cs="宋体" w:hint="eastAsia"/>
          <w:sz w:val="22"/>
          <w:szCs w:val="22"/>
        </w:rPr>
      </w:pPr>
    </w:p>
    <w:p w:rsidR="002B4CA9" w:rsidRPr="00246D72" w:rsidRDefault="00A77718" w:rsidP="00246D72">
      <w:pPr>
        <w:spacing w:line="600" w:lineRule="exact"/>
        <w:jc w:val="center"/>
        <w:rPr>
          <w:rFonts w:ascii="微软雅黑" w:eastAsia="微软雅黑" w:hAnsi="微软雅黑"/>
          <w:b/>
          <w:bCs/>
          <w:color w:val="7030A0"/>
          <w:sz w:val="40"/>
          <w:szCs w:val="40"/>
        </w:rPr>
      </w:pPr>
      <w:r w:rsidRPr="00246D72">
        <w:rPr>
          <w:rFonts w:ascii="微软雅黑" w:eastAsia="微软雅黑" w:hAnsi="微软雅黑"/>
          <w:b/>
          <w:bCs/>
          <w:color w:val="7030A0"/>
          <w:sz w:val="40"/>
          <w:szCs w:val="40"/>
        </w:rPr>
        <w:t>最高人民法院关于</w:t>
      </w:r>
    </w:p>
    <w:p w:rsidR="002B4CA9" w:rsidRPr="00246D72" w:rsidRDefault="00A77718" w:rsidP="00246D72">
      <w:pPr>
        <w:spacing w:line="600" w:lineRule="exact"/>
        <w:jc w:val="center"/>
        <w:rPr>
          <w:rFonts w:ascii="微软雅黑" w:eastAsia="微软雅黑" w:hAnsi="微软雅黑"/>
          <w:b/>
          <w:bCs/>
          <w:color w:val="7030A0"/>
          <w:sz w:val="40"/>
          <w:szCs w:val="40"/>
        </w:rPr>
      </w:pPr>
      <w:r w:rsidRPr="00246D72">
        <w:rPr>
          <w:rFonts w:ascii="微软雅黑" w:eastAsia="微软雅黑" w:hAnsi="微软雅黑"/>
          <w:b/>
          <w:bCs/>
          <w:color w:val="7030A0"/>
          <w:sz w:val="40"/>
          <w:szCs w:val="40"/>
        </w:rPr>
        <w:t>设立国际商事法庭若干问题的规定</w:t>
      </w:r>
    </w:p>
    <w:p w:rsidR="002B4CA9" w:rsidRDefault="002B4CA9" w:rsidP="00246D72">
      <w:pPr>
        <w:spacing w:line="240" w:lineRule="exact"/>
        <w:rPr>
          <w:rFonts w:ascii="微软雅黑" w:eastAsia="微软雅黑" w:hAnsi="微软雅黑" w:cs="宋体"/>
          <w:sz w:val="22"/>
          <w:szCs w:val="22"/>
        </w:rPr>
      </w:pPr>
    </w:p>
    <w:p w:rsidR="00246D72" w:rsidRDefault="00246D72" w:rsidP="00246D72">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024-01-01</w:t>
      </w:r>
    </w:p>
    <w:p w:rsidR="00246D72" w:rsidRPr="00246D72" w:rsidRDefault="00246D72" w:rsidP="00246D72">
      <w:pPr>
        <w:spacing w:line="240" w:lineRule="exact"/>
        <w:rPr>
          <w:rFonts w:ascii="微软雅黑" w:eastAsia="微软雅黑" w:hAnsi="微软雅黑" w:cs="宋体" w:hint="eastAsia"/>
          <w:sz w:val="22"/>
          <w:szCs w:val="22"/>
        </w:rPr>
      </w:pPr>
    </w:p>
    <w:p w:rsidR="002B4CA9" w:rsidRPr="00246D72" w:rsidRDefault="00A77718" w:rsidP="00246D72">
      <w:pPr>
        <w:spacing w:line="240" w:lineRule="exact"/>
        <w:ind w:leftChars="200" w:left="632" w:rightChars="200" w:right="632" w:firstLineChars="200" w:firstLine="412"/>
        <w:rPr>
          <w:rFonts w:ascii="微软雅黑" w:eastAsia="微软雅黑" w:hAnsi="微软雅黑"/>
          <w:sz w:val="21"/>
          <w:szCs w:val="21"/>
        </w:rPr>
      </w:pPr>
      <w:r w:rsidRPr="00246D72">
        <w:rPr>
          <w:rFonts w:ascii="微软雅黑" w:eastAsia="微软雅黑" w:hAnsi="微软雅黑"/>
          <w:sz w:val="21"/>
          <w:szCs w:val="21"/>
        </w:rPr>
        <w:t>（</w:t>
      </w:r>
      <w:r w:rsidRPr="00246D72">
        <w:rPr>
          <w:rFonts w:ascii="微软雅黑" w:eastAsia="微软雅黑" w:hAnsi="微软雅黑"/>
          <w:sz w:val="21"/>
          <w:szCs w:val="21"/>
        </w:rPr>
        <w:t>2018</w:t>
      </w:r>
      <w:r w:rsidRPr="00246D72">
        <w:rPr>
          <w:rFonts w:ascii="微软雅黑" w:eastAsia="微软雅黑" w:hAnsi="微软雅黑"/>
          <w:sz w:val="21"/>
          <w:szCs w:val="21"/>
        </w:rPr>
        <w:t>年</w:t>
      </w:r>
      <w:r w:rsidRPr="00246D72">
        <w:rPr>
          <w:rFonts w:ascii="微软雅黑" w:eastAsia="微软雅黑" w:hAnsi="微软雅黑"/>
          <w:sz w:val="21"/>
          <w:szCs w:val="21"/>
        </w:rPr>
        <w:t>6</w:t>
      </w:r>
      <w:r w:rsidRPr="00246D72">
        <w:rPr>
          <w:rFonts w:ascii="微软雅黑" w:eastAsia="微软雅黑" w:hAnsi="微软雅黑"/>
          <w:sz w:val="21"/>
          <w:szCs w:val="21"/>
        </w:rPr>
        <w:t>月</w:t>
      </w:r>
      <w:r w:rsidRPr="00246D72">
        <w:rPr>
          <w:rFonts w:ascii="微软雅黑" w:eastAsia="微软雅黑" w:hAnsi="微软雅黑"/>
          <w:sz w:val="21"/>
          <w:szCs w:val="21"/>
        </w:rPr>
        <w:t>25</w:t>
      </w:r>
      <w:r w:rsidRPr="00246D72">
        <w:rPr>
          <w:rFonts w:ascii="微软雅黑" w:eastAsia="微软雅黑" w:hAnsi="微软雅黑"/>
          <w:sz w:val="21"/>
          <w:szCs w:val="21"/>
        </w:rPr>
        <w:t>日最高人民法院审判委员会第</w:t>
      </w:r>
      <w:r w:rsidRPr="00246D72">
        <w:rPr>
          <w:rFonts w:ascii="微软雅黑" w:eastAsia="微软雅黑" w:hAnsi="微软雅黑"/>
          <w:sz w:val="21"/>
          <w:szCs w:val="21"/>
        </w:rPr>
        <w:t>1743</w:t>
      </w:r>
      <w:r w:rsidRPr="00246D72">
        <w:rPr>
          <w:rFonts w:ascii="微软雅黑" w:eastAsia="微软雅黑" w:hAnsi="微软雅黑"/>
          <w:sz w:val="21"/>
          <w:szCs w:val="21"/>
        </w:rPr>
        <w:t>次会议通过；根据</w:t>
      </w:r>
      <w:r w:rsidRPr="00246D72">
        <w:rPr>
          <w:rFonts w:ascii="微软雅黑" w:eastAsia="微软雅黑" w:hAnsi="微软雅黑"/>
          <w:sz w:val="21"/>
          <w:szCs w:val="21"/>
        </w:rPr>
        <w:t>2023</w:t>
      </w:r>
      <w:r w:rsidRPr="00246D72">
        <w:rPr>
          <w:rFonts w:ascii="微软雅黑" w:eastAsia="微软雅黑" w:hAnsi="微软雅黑"/>
          <w:sz w:val="21"/>
          <w:szCs w:val="21"/>
        </w:rPr>
        <w:t>年</w:t>
      </w:r>
      <w:r w:rsidRPr="00246D72">
        <w:rPr>
          <w:rFonts w:ascii="微软雅黑" w:eastAsia="微软雅黑" w:hAnsi="微软雅黑"/>
          <w:sz w:val="21"/>
          <w:szCs w:val="21"/>
        </w:rPr>
        <w:t>12</w:t>
      </w:r>
      <w:r w:rsidRPr="00246D72">
        <w:rPr>
          <w:rFonts w:ascii="微软雅黑" w:eastAsia="微软雅黑" w:hAnsi="微软雅黑"/>
          <w:sz w:val="21"/>
          <w:szCs w:val="21"/>
        </w:rPr>
        <w:t>月</w:t>
      </w:r>
      <w:r w:rsidRPr="00246D72">
        <w:rPr>
          <w:rFonts w:ascii="微软雅黑" w:eastAsia="微软雅黑" w:hAnsi="微软雅黑"/>
          <w:sz w:val="21"/>
          <w:szCs w:val="21"/>
        </w:rPr>
        <w:t>5</w:t>
      </w:r>
      <w:r w:rsidRPr="00246D72">
        <w:rPr>
          <w:rFonts w:ascii="微软雅黑" w:eastAsia="微软雅黑" w:hAnsi="微软雅黑"/>
          <w:sz w:val="21"/>
          <w:szCs w:val="21"/>
        </w:rPr>
        <w:t>日最高人民法院审判委员会第</w:t>
      </w:r>
      <w:r w:rsidRPr="00246D72">
        <w:rPr>
          <w:rFonts w:ascii="微软雅黑" w:eastAsia="微软雅黑" w:hAnsi="微软雅黑"/>
          <w:sz w:val="21"/>
          <w:szCs w:val="21"/>
        </w:rPr>
        <w:t>1908</w:t>
      </w:r>
      <w:r w:rsidRPr="00246D72">
        <w:rPr>
          <w:rFonts w:ascii="微软雅黑" w:eastAsia="微软雅黑" w:hAnsi="微软雅黑"/>
          <w:sz w:val="21"/>
          <w:szCs w:val="21"/>
        </w:rPr>
        <w:t>次会议通过的《最高人民法院关于修改〈最高人民法院关于设立国际商事法庭若干问题的规定〉的决定》修正，该</w:t>
      </w:r>
      <w:proofErr w:type="gramStart"/>
      <w:r w:rsidRPr="00246D72">
        <w:rPr>
          <w:rFonts w:ascii="微软雅黑" w:eastAsia="微软雅黑" w:hAnsi="微软雅黑"/>
          <w:sz w:val="21"/>
          <w:szCs w:val="21"/>
        </w:rPr>
        <w:t>修正自</w:t>
      </w:r>
      <w:proofErr w:type="gramEnd"/>
      <w:r w:rsidRPr="00246D72">
        <w:rPr>
          <w:rFonts w:ascii="微软雅黑" w:eastAsia="微软雅黑" w:hAnsi="微软雅黑"/>
          <w:sz w:val="21"/>
          <w:szCs w:val="21"/>
        </w:rPr>
        <w:t>2024</w:t>
      </w:r>
      <w:r w:rsidRPr="00246D72">
        <w:rPr>
          <w:rFonts w:ascii="微软雅黑" w:eastAsia="微软雅黑" w:hAnsi="微软雅黑"/>
          <w:sz w:val="21"/>
          <w:szCs w:val="21"/>
        </w:rPr>
        <w:t>年</w:t>
      </w:r>
      <w:r w:rsidRPr="00246D72">
        <w:rPr>
          <w:rFonts w:ascii="微软雅黑" w:eastAsia="微软雅黑" w:hAnsi="微软雅黑"/>
          <w:sz w:val="21"/>
          <w:szCs w:val="21"/>
        </w:rPr>
        <w:t>1</w:t>
      </w:r>
      <w:r w:rsidRPr="00246D72">
        <w:rPr>
          <w:rFonts w:ascii="微软雅黑" w:eastAsia="微软雅黑" w:hAnsi="微软雅黑"/>
          <w:sz w:val="21"/>
          <w:szCs w:val="21"/>
        </w:rPr>
        <w:t>月</w:t>
      </w:r>
      <w:r w:rsidRPr="00246D72">
        <w:rPr>
          <w:rFonts w:ascii="微软雅黑" w:eastAsia="微软雅黑" w:hAnsi="微软雅黑"/>
          <w:sz w:val="21"/>
          <w:szCs w:val="21"/>
        </w:rPr>
        <w:t>1</w:t>
      </w:r>
      <w:r w:rsidRPr="00246D72">
        <w:rPr>
          <w:rFonts w:ascii="微软雅黑" w:eastAsia="微软雅黑" w:hAnsi="微软雅黑"/>
          <w:sz w:val="21"/>
          <w:szCs w:val="21"/>
        </w:rPr>
        <w:t>日起施行）</w:t>
      </w:r>
    </w:p>
    <w:p w:rsidR="002B4CA9" w:rsidRPr="00246D72" w:rsidRDefault="002B4CA9" w:rsidP="00246D72">
      <w:pPr>
        <w:spacing w:line="400" w:lineRule="exact"/>
        <w:rPr>
          <w:rFonts w:ascii="微软雅黑" w:eastAsia="微软雅黑" w:hAnsi="微软雅黑" w:cs="宋体"/>
          <w:sz w:val="24"/>
        </w:rPr>
      </w:pP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为依法公正及时审理国际商事案件，平等保护中外当事人合法权益，营造稳定、公平、透明、便捷的法治化国际营商环境，服务和保障</w:t>
      </w:r>
      <w:r w:rsidRPr="00246D72">
        <w:rPr>
          <w:rFonts w:ascii="微软雅黑" w:eastAsia="微软雅黑" w:hAnsi="微软雅黑"/>
          <w:sz w:val="24"/>
        </w:rPr>
        <w:t>“</w:t>
      </w:r>
      <w:r w:rsidRPr="00246D72">
        <w:rPr>
          <w:rFonts w:ascii="微软雅黑" w:eastAsia="微软雅黑" w:hAnsi="微软雅黑"/>
          <w:sz w:val="24"/>
        </w:rPr>
        <w:t>一带一路</w:t>
      </w:r>
      <w:r w:rsidRPr="00246D72">
        <w:rPr>
          <w:rFonts w:ascii="微软雅黑" w:eastAsia="微软雅黑" w:hAnsi="微软雅黑"/>
          <w:sz w:val="24"/>
        </w:rPr>
        <w:t>”</w:t>
      </w:r>
      <w:r w:rsidRPr="00246D72">
        <w:rPr>
          <w:rFonts w:ascii="微软雅黑" w:eastAsia="微软雅黑" w:hAnsi="微软雅黑"/>
          <w:sz w:val="24"/>
        </w:rPr>
        <w:t>建设，依据《中华人民共和国人民法院组织法》《中华人民共和国民事诉讼法》等法律，结合审判工作实际，就设立最高人民法院国际商事法</w:t>
      </w:r>
      <w:r w:rsidRPr="00246D72">
        <w:rPr>
          <w:rFonts w:ascii="微软雅黑" w:eastAsia="微软雅黑" w:hAnsi="微软雅黑"/>
          <w:sz w:val="24"/>
        </w:rPr>
        <w:t>庭相关问题规定如下。</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第一条</w:t>
      </w:r>
      <w:r w:rsidRPr="00246D72">
        <w:rPr>
          <w:rFonts w:ascii="微软雅黑" w:eastAsia="微软雅黑" w:hAnsi="微软雅黑"/>
          <w:sz w:val="24"/>
        </w:rPr>
        <w:t xml:space="preserve">　最高人民法院设立国际商事法庭。国际商事法庭是最高人民法院的常设审判机构。</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第二条</w:t>
      </w:r>
      <w:r w:rsidRPr="00246D72">
        <w:rPr>
          <w:rFonts w:ascii="微软雅黑" w:eastAsia="微软雅黑" w:hAnsi="微软雅黑"/>
          <w:sz w:val="24"/>
        </w:rPr>
        <w:t xml:space="preserve">　国际商事法庭受理下列案件：</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（一）当事人依照民事诉讼法第二百七十七条的规定协议选择最高人民法院管辖且标的额为人民币</w:t>
      </w:r>
      <w:r w:rsidRPr="00246D72">
        <w:rPr>
          <w:rFonts w:ascii="微软雅黑" w:eastAsia="微软雅黑" w:hAnsi="微软雅黑"/>
          <w:sz w:val="24"/>
        </w:rPr>
        <w:t>3</w:t>
      </w:r>
      <w:r w:rsidRPr="00246D72">
        <w:rPr>
          <w:rFonts w:ascii="微软雅黑" w:eastAsia="微软雅黑" w:hAnsi="微软雅黑"/>
          <w:sz w:val="24"/>
        </w:rPr>
        <w:t>亿元以上的第一审国际商事案件；</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（二）高级人民法院对其所管辖的第一审国际商事案件，认为需要由最高人民法院审理并获准许的；</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（三）在全国有重大影响的第一审国际商事案件；</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（四）依照本规定第十四条申请仲裁保全、申请撤销或者执行国际商事仲裁裁决的；</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（五）最高人民法院认为应当由国际商事法庭</w:t>
      </w:r>
      <w:r w:rsidRPr="00246D72">
        <w:rPr>
          <w:rFonts w:ascii="微软雅黑" w:eastAsia="微软雅黑" w:hAnsi="微软雅黑"/>
          <w:sz w:val="24"/>
        </w:rPr>
        <w:t>审理的其他国际商事案件。</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第三条</w:t>
      </w:r>
      <w:r w:rsidRPr="00246D72">
        <w:rPr>
          <w:rFonts w:ascii="微软雅黑" w:eastAsia="微软雅黑" w:hAnsi="微软雅黑"/>
          <w:sz w:val="24"/>
        </w:rPr>
        <w:t xml:space="preserve">　具有下列情形之一的商事案件，可以认定为本规定所称的国际商事案件：</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（一）当事人一方或者双方是外国人、无国籍人、外国企业或者组织的；</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（二）当事人一方或者双方的经常居所地在中华人民共和国领域外的；</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（三）标的物在中华人民共和国领域外的；</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（四）产生、变更或者</w:t>
      </w:r>
      <w:proofErr w:type="gramStart"/>
      <w:r w:rsidRPr="00246D72">
        <w:rPr>
          <w:rFonts w:ascii="微软雅黑" w:eastAsia="微软雅黑" w:hAnsi="微软雅黑"/>
          <w:sz w:val="24"/>
        </w:rPr>
        <w:t>消灭商</w:t>
      </w:r>
      <w:proofErr w:type="gramEnd"/>
      <w:r w:rsidRPr="00246D72">
        <w:rPr>
          <w:rFonts w:ascii="微软雅黑" w:eastAsia="微软雅黑" w:hAnsi="微软雅黑"/>
          <w:sz w:val="24"/>
        </w:rPr>
        <w:t>事关系的法律事实发生在中华人民共和国领域外的。</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第四条</w:t>
      </w:r>
      <w:r w:rsidRPr="00246D72">
        <w:rPr>
          <w:rFonts w:ascii="微软雅黑" w:eastAsia="微软雅黑" w:hAnsi="微软雅黑"/>
          <w:sz w:val="24"/>
        </w:rPr>
        <w:t xml:space="preserve">　国际商事法庭法官由最高人民法院在具有丰富审判工作经验，熟悉国际条约、国际惯例以及国际贸易投资实务，能够同时熟练运用中文和英文作为工作语言的资深法官中选任。</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第五</w:t>
      </w:r>
      <w:r w:rsidRPr="00246D72">
        <w:rPr>
          <w:rFonts w:ascii="微软雅黑" w:eastAsia="微软雅黑" w:hAnsi="微软雅黑"/>
          <w:sz w:val="24"/>
        </w:rPr>
        <w:t>条</w:t>
      </w:r>
      <w:r w:rsidRPr="00246D72">
        <w:rPr>
          <w:rFonts w:ascii="微软雅黑" w:eastAsia="微软雅黑" w:hAnsi="微软雅黑"/>
          <w:sz w:val="24"/>
        </w:rPr>
        <w:t xml:space="preserve">　国际商事法庭审理案件，由三名或者三名以上法官组成合议庭。</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合议庭评议案件，实行少数服从多数的原则。少数意见可以在裁判文书中载明。</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第六条</w:t>
      </w:r>
      <w:r w:rsidRPr="00246D72">
        <w:rPr>
          <w:rFonts w:ascii="微软雅黑" w:eastAsia="微软雅黑" w:hAnsi="微软雅黑"/>
          <w:sz w:val="24"/>
        </w:rPr>
        <w:t xml:space="preserve">　国际商事法庭</w:t>
      </w:r>
      <w:proofErr w:type="gramStart"/>
      <w:r w:rsidRPr="00246D72">
        <w:rPr>
          <w:rFonts w:ascii="微软雅黑" w:eastAsia="微软雅黑" w:hAnsi="微软雅黑"/>
          <w:sz w:val="24"/>
        </w:rPr>
        <w:t>作出</w:t>
      </w:r>
      <w:proofErr w:type="gramEnd"/>
      <w:r w:rsidRPr="00246D72">
        <w:rPr>
          <w:rFonts w:ascii="微软雅黑" w:eastAsia="微软雅黑" w:hAnsi="微软雅黑"/>
          <w:sz w:val="24"/>
        </w:rPr>
        <w:t>的保全裁定，可以指定下级人民法院执行。</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第七条</w:t>
      </w:r>
      <w:r w:rsidRPr="00246D72">
        <w:rPr>
          <w:rFonts w:ascii="微软雅黑" w:eastAsia="微软雅黑" w:hAnsi="微软雅黑"/>
          <w:sz w:val="24"/>
        </w:rPr>
        <w:t xml:space="preserve">　国际商事法庭审理案件，依照《中华人民共和国涉外民事关系法律适用法》的规定确定争议适用的实体法律。</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当事人依照法律规定选择适用法律的，应当适用当事人选择的法律。</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第八条</w:t>
      </w:r>
      <w:r w:rsidRPr="00246D72">
        <w:rPr>
          <w:rFonts w:ascii="微软雅黑" w:eastAsia="微软雅黑" w:hAnsi="微软雅黑"/>
          <w:sz w:val="24"/>
        </w:rPr>
        <w:t xml:space="preserve">　国际商事法庭审理案件应当适用域外法律时，可以通过下列途径查明：</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（一）由当事人提供；</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（二）通过司法协助渠道由对方的中央机关或者主管机关提供；</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（三）通过最高人民法院请求我国驻该国使领馆或者该国驻我国使领馆提供；</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lastRenderedPageBreak/>
        <w:t>（四）由最高人民法院建立或者参与的法律查明合作机制参与方提供；</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（五）由最高人民法院国际商事专家委员会专家提供；</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（六）由法律查明服务机构或者中外法律专家提供；</w:t>
      </w:r>
    </w:p>
    <w:p w:rsidR="00246D72" w:rsidRPr="00246D72" w:rsidRDefault="00A77718" w:rsidP="00246D72">
      <w:pPr>
        <w:spacing w:line="400" w:lineRule="exact"/>
        <w:ind w:firstLineChars="200" w:firstLine="472"/>
        <w:rPr>
          <w:rFonts w:ascii="微软雅黑" w:eastAsia="微软雅黑" w:hAnsi="微软雅黑" w:hint="eastAsia"/>
          <w:sz w:val="24"/>
        </w:rPr>
      </w:pPr>
      <w:r w:rsidRPr="00246D72">
        <w:rPr>
          <w:rFonts w:ascii="微软雅黑" w:eastAsia="微软雅黑" w:hAnsi="微软雅黑"/>
          <w:sz w:val="24"/>
        </w:rPr>
        <w:t>（七）其他适当途径。</w:t>
      </w:r>
      <w:bookmarkStart w:id="0" w:name="_GoBack"/>
      <w:bookmarkEnd w:id="0"/>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通过上述途径提供的域外法律资料以及专家意见，应当依照法律规定在法庭上出示，并充分听取各方当事人的意见。</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第九条</w:t>
      </w:r>
      <w:r w:rsidRPr="00246D72">
        <w:rPr>
          <w:rFonts w:ascii="微软雅黑" w:eastAsia="微软雅黑" w:hAnsi="微软雅黑"/>
          <w:sz w:val="24"/>
        </w:rPr>
        <w:t xml:space="preserve">　当事人向国际商事法庭提交的证据材料系在中华人民共和国领域外形成的，不论是否已办理公证、认</w:t>
      </w:r>
      <w:r w:rsidRPr="00246D72">
        <w:rPr>
          <w:rFonts w:ascii="微软雅黑" w:eastAsia="微软雅黑" w:hAnsi="微软雅黑"/>
          <w:sz w:val="24"/>
        </w:rPr>
        <w:t>证或者其他证明手续，均应当在法庭上质证。</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当事人提交的证据材料系英文且经对方当事人同意的，可以不提交中文翻译件。</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第十条</w:t>
      </w:r>
      <w:r w:rsidRPr="00246D72">
        <w:rPr>
          <w:rFonts w:ascii="微软雅黑" w:eastAsia="微软雅黑" w:hAnsi="微软雅黑"/>
          <w:sz w:val="24"/>
        </w:rPr>
        <w:t xml:space="preserve">　国际商事法庭调查收集证据以及组织质证，可以采用视听传输技术及其他信息网络方式。</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第十一条</w:t>
      </w:r>
      <w:r w:rsidRPr="00246D72">
        <w:rPr>
          <w:rFonts w:ascii="微软雅黑" w:eastAsia="微软雅黑" w:hAnsi="微软雅黑"/>
          <w:sz w:val="24"/>
        </w:rPr>
        <w:t xml:space="preserve">　最高人民法院组建国际商事专家委员会，并选定符合条件的国际商事调解机构、国际商事仲裁机构与国际商事法庭共同构建调解、仲裁、诉讼有机衔接的纠纷解决平台，形成</w:t>
      </w:r>
      <w:r w:rsidRPr="00246D72">
        <w:rPr>
          <w:rFonts w:ascii="微软雅黑" w:eastAsia="微软雅黑" w:hAnsi="微软雅黑"/>
          <w:sz w:val="24"/>
        </w:rPr>
        <w:t>“</w:t>
      </w:r>
      <w:r w:rsidRPr="00246D72">
        <w:rPr>
          <w:rFonts w:ascii="微软雅黑" w:eastAsia="微软雅黑" w:hAnsi="微软雅黑"/>
          <w:sz w:val="24"/>
        </w:rPr>
        <w:t>一站式</w:t>
      </w:r>
      <w:r w:rsidRPr="00246D72">
        <w:rPr>
          <w:rFonts w:ascii="微软雅黑" w:eastAsia="微软雅黑" w:hAnsi="微软雅黑"/>
          <w:sz w:val="24"/>
        </w:rPr>
        <w:t>”</w:t>
      </w:r>
      <w:r w:rsidRPr="00246D72">
        <w:rPr>
          <w:rFonts w:ascii="微软雅黑" w:eastAsia="微软雅黑" w:hAnsi="微软雅黑"/>
          <w:sz w:val="24"/>
        </w:rPr>
        <w:t>国际商事纠纷解决机制。</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国际商事法庭支持当事人通过调解、仲裁、诉讼有机衔接的纠纷解决平台，选择其认为适宜的方式解决国际商事纠纷。</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第十二条</w:t>
      </w:r>
      <w:r w:rsidRPr="00246D72">
        <w:rPr>
          <w:rFonts w:ascii="微软雅黑" w:eastAsia="微软雅黑" w:hAnsi="微软雅黑"/>
          <w:sz w:val="24"/>
        </w:rPr>
        <w:t xml:space="preserve">　国际商事法庭在受理案件后七日内，经当事人同意，可以委托国际商事专家委员会成员或者国际商事调解机构调解。</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第十三条</w:t>
      </w:r>
      <w:r w:rsidRPr="00246D72">
        <w:rPr>
          <w:rFonts w:ascii="微软雅黑" w:eastAsia="微软雅黑" w:hAnsi="微软雅黑"/>
          <w:sz w:val="24"/>
        </w:rPr>
        <w:t xml:space="preserve">　经国际商事专家委员会成员或者国际商事调解机构主持调解，当事人达成调解协议的，国际商事法庭可以依</w:t>
      </w:r>
      <w:r w:rsidRPr="00246D72">
        <w:rPr>
          <w:rFonts w:ascii="微软雅黑" w:eastAsia="微软雅黑" w:hAnsi="微软雅黑"/>
          <w:sz w:val="24"/>
        </w:rPr>
        <w:t>照法律规定制发调解书；当事人要求发给判决书的，可以依协议的内容制作判决书送达当事人。</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第十四条</w:t>
      </w:r>
      <w:r w:rsidRPr="00246D72">
        <w:rPr>
          <w:rFonts w:ascii="微软雅黑" w:eastAsia="微软雅黑" w:hAnsi="微软雅黑"/>
          <w:sz w:val="24"/>
        </w:rPr>
        <w:t xml:space="preserve">　当事人协议选择本规定第十一条第一款规定的国际商事仲裁机构仲裁的，可以在申请仲裁前或者仲裁程序开始后，向国际商事法庭申请证据、财产或者行为保全。</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当事人向国际商事法庭申请撤销或者执行本规定第十一条第一款规定的国际商事仲裁机构</w:t>
      </w:r>
      <w:proofErr w:type="gramStart"/>
      <w:r w:rsidRPr="00246D72">
        <w:rPr>
          <w:rFonts w:ascii="微软雅黑" w:eastAsia="微软雅黑" w:hAnsi="微软雅黑"/>
          <w:sz w:val="24"/>
        </w:rPr>
        <w:t>作出</w:t>
      </w:r>
      <w:proofErr w:type="gramEnd"/>
      <w:r w:rsidRPr="00246D72">
        <w:rPr>
          <w:rFonts w:ascii="微软雅黑" w:eastAsia="微软雅黑" w:hAnsi="微软雅黑"/>
          <w:sz w:val="24"/>
        </w:rPr>
        <w:t>的仲裁裁决的，国际商事法庭依照民事诉讼法等相关法律规定进行审查。</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第十五条</w:t>
      </w:r>
      <w:r w:rsidRPr="00246D72">
        <w:rPr>
          <w:rFonts w:ascii="微软雅黑" w:eastAsia="微软雅黑" w:hAnsi="微软雅黑"/>
          <w:sz w:val="24"/>
        </w:rPr>
        <w:t xml:space="preserve">　国际商事法庭</w:t>
      </w:r>
      <w:proofErr w:type="gramStart"/>
      <w:r w:rsidRPr="00246D72">
        <w:rPr>
          <w:rFonts w:ascii="微软雅黑" w:eastAsia="微软雅黑" w:hAnsi="微软雅黑"/>
          <w:sz w:val="24"/>
        </w:rPr>
        <w:t>作出</w:t>
      </w:r>
      <w:proofErr w:type="gramEnd"/>
      <w:r w:rsidRPr="00246D72">
        <w:rPr>
          <w:rFonts w:ascii="微软雅黑" w:eastAsia="微软雅黑" w:hAnsi="微软雅黑"/>
          <w:sz w:val="24"/>
        </w:rPr>
        <w:t>的判决、裁定，是发生法律效力的判决、裁定。</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国际商事法庭</w:t>
      </w:r>
      <w:proofErr w:type="gramStart"/>
      <w:r w:rsidRPr="00246D72">
        <w:rPr>
          <w:rFonts w:ascii="微软雅黑" w:eastAsia="微软雅黑" w:hAnsi="微软雅黑"/>
          <w:sz w:val="24"/>
        </w:rPr>
        <w:t>作出</w:t>
      </w:r>
      <w:proofErr w:type="gramEnd"/>
      <w:r w:rsidRPr="00246D72">
        <w:rPr>
          <w:rFonts w:ascii="微软雅黑" w:eastAsia="微软雅黑" w:hAnsi="微软雅黑"/>
          <w:sz w:val="24"/>
        </w:rPr>
        <w:t>的调解书，经双方当事人签收后，即具有与</w:t>
      </w:r>
      <w:r w:rsidRPr="00246D72">
        <w:rPr>
          <w:rFonts w:ascii="微软雅黑" w:eastAsia="微软雅黑" w:hAnsi="微软雅黑"/>
          <w:sz w:val="24"/>
        </w:rPr>
        <w:t>判决同等的法律效力。</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第十六条</w:t>
      </w:r>
      <w:r w:rsidRPr="00246D72">
        <w:rPr>
          <w:rFonts w:ascii="微软雅黑" w:eastAsia="微软雅黑" w:hAnsi="微软雅黑"/>
          <w:sz w:val="24"/>
        </w:rPr>
        <w:t xml:space="preserve">　当事人对国际商事法庭</w:t>
      </w:r>
      <w:proofErr w:type="gramStart"/>
      <w:r w:rsidRPr="00246D72">
        <w:rPr>
          <w:rFonts w:ascii="微软雅黑" w:eastAsia="微软雅黑" w:hAnsi="微软雅黑"/>
          <w:sz w:val="24"/>
        </w:rPr>
        <w:t>作出</w:t>
      </w:r>
      <w:proofErr w:type="gramEnd"/>
      <w:r w:rsidRPr="00246D72">
        <w:rPr>
          <w:rFonts w:ascii="微软雅黑" w:eastAsia="微软雅黑" w:hAnsi="微软雅黑"/>
          <w:sz w:val="24"/>
        </w:rPr>
        <w:t>的已经发生法律效力的判决、裁定和调解书，可以依照民事诉讼法的规定向最高人民法院本部申请再审。</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最高人民法院本部受理前款规定的申请再审案件以及再审案件，均应当另行组成合议庭。</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第十七条</w:t>
      </w:r>
      <w:r w:rsidRPr="00246D72">
        <w:rPr>
          <w:rFonts w:ascii="微软雅黑" w:eastAsia="微软雅黑" w:hAnsi="微软雅黑"/>
          <w:sz w:val="24"/>
        </w:rPr>
        <w:t xml:space="preserve">　国际商事法庭</w:t>
      </w:r>
      <w:proofErr w:type="gramStart"/>
      <w:r w:rsidRPr="00246D72">
        <w:rPr>
          <w:rFonts w:ascii="微软雅黑" w:eastAsia="微软雅黑" w:hAnsi="微软雅黑"/>
          <w:sz w:val="24"/>
        </w:rPr>
        <w:t>作出</w:t>
      </w:r>
      <w:proofErr w:type="gramEnd"/>
      <w:r w:rsidRPr="00246D72">
        <w:rPr>
          <w:rFonts w:ascii="微软雅黑" w:eastAsia="微软雅黑" w:hAnsi="微软雅黑"/>
          <w:sz w:val="24"/>
        </w:rPr>
        <w:t>的发生法律效力的判决、裁定和调解书，当事人可以向国际商事法庭申请执行。</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第十八条</w:t>
      </w:r>
      <w:r w:rsidRPr="00246D72">
        <w:rPr>
          <w:rFonts w:ascii="微软雅黑" w:eastAsia="微软雅黑" w:hAnsi="微软雅黑"/>
          <w:sz w:val="24"/>
        </w:rPr>
        <w:t xml:space="preserve">　国际商事法庭通过电子诉讼服务平台、审判流程信息公开平台以及其他诉讼服务平台为诉讼参与人提供诉讼便利，并支持通过网络方式立案、缴费、阅卷、证据交换、送达、开庭等。</w:t>
      </w:r>
    </w:p>
    <w:p w:rsidR="002B4CA9" w:rsidRPr="00246D72" w:rsidRDefault="00A77718" w:rsidP="00246D72">
      <w:pPr>
        <w:spacing w:line="400" w:lineRule="exact"/>
        <w:ind w:firstLineChars="200" w:firstLine="472"/>
        <w:rPr>
          <w:rFonts w:ascii="微软雅黑" w:eastAsia="微软雅黑" w:hAnsi="微软雅黑"/>
          <w:sz w:val="24"/>
        </w:rPr>
      </w:pPr>
      <w:r w:rsidRPr="00246D72">
        <w:rPr>
          <w:rFonts w:ascii="微软雅黑" w:eastAsia="微软雅黑" w:hAnsi="微软雅黑"/>
          <w:sz w:val="24"/>
        </w:rPr>
        <w:t>第十九条</w:t>
      </w:r>
      <w:r w:rsidRPr="00246D72">
        <w:rPr>
          <w:rFonts w:ascii="微软雅黑" w:eastAsia="微软雅黑" w:hAnsi="微软雅黑"/>
          <w:sz w:val="24"/>
        </w:rPr>
        <w:t xml:space="preserve">　本</w:t>
      </w:r>
      <w:r w:rsidRPr="00246D72">
        <w:rPr>
          <w:rFonts w:ascii="微软雅黑" w:eastAsia="微软雅黑" w:hAnsi="微软雅黑"/>
          <w:sz w:val="24"/>
        </w:rPr>
        <w:t>规定自</w:t>
      </w:r>
      <w:r w:rsidRPr="00246D72">
        <w:rPr>
          <w:rFonts w:ascii="微软雅黑" w:eastAsia="微软雅黑" w:hAnsi="微软雅黑"/>
          <w:sz w:val="24"/>
        </w:rPr>
        <w:t>2018</w:t>
      </w:r>
      <w:r w:rsidRPr="00246D72">
        <w:rPr>
          <w:rFonts w:ascii="微软雅黑" w:eastAsia="微软雅黑" w:hAnsi="微软雅黑"/>
          <w:sz w:val="24"/>
        </w:rPr>
        <w:t>年</w:t>
      </w:r>
      <w:r w:rsidRPr="00246D72">
        <w:rPr>
          <w:rFonts w:ascii="微软雅黑" w:eastAsia="微软雅黑" w:hAnsi="微软雅黑"/>
          <w:sz w:val="24"/>
        </w:rPr>
        <w:t>7</w:t>
      </w:r>
      <w:r w:rsidRPr="00246D72">
        <w:rPr>
          <w:rFonts w:ascii="微软雅黑" w:eastAsia="微软雅黑" w:hAnsi="微软雅黑"/>
          <w:sz w:val="24"/>
        </w:rPr>
        <w:t>月</w:t>
      </w:r>
      <w:r w:rsidRPr="00246D72">
        <w:rPr>
          <w:rFonts w:ascii="微软雅黑" w:eastAsia="微软雅黑" w:hAnsi="微软雅黑"/>
          <w:sz w:val="24"/>
        </w:rPr>
        <w:t>1</w:t>
      </w:r>
      <w:r w:rsidRPr="00246D72">
        <w:rPr>
          <w:rFonts w:ascii="微软雅黑" w:eastAsia="微软雅黑" w:hAnsi="微软雅黑"/>
          <w:sz w:val="24"/>
        </w:rPr>
        <w:t>日起施行。</w:t>
      </w:r>
    </w:p>
    <w:sectPr w:rsidR="002B4CA9" w:rsidRPr="00246D72" w:rsidSect="00246D72">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718" w:rsidRDefault="00A77718">
      <w:r>
        <w:separator/>
      </w:r>
    </w:p>
  </w:endnote>
  <w:endnote w:type="continuationSeparator" w:id="0">
    <w:p w:rsidR="00A77718" w:rsidRDefault="00A7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A9" w:rsidRDefault="00A77718">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CA9" w:rsidRDefault="00A77718">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718" w:rsidRDefault="00A77718">
      <w:r>
        <w:separator/>
      </w:r>
    </w:p>
  </w:footnote>
  <w:footnote w:type="continuationSeparator" w:id="0">
    <w:p w:rsidR="00A77718" w:rsidRDefault="00A77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6D72"/>
    <w:rsid w:val="00247B39"/>
    <w:rsid w:val="00265F71"/>
    <w:rsid w:val="002B4CA9"/>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77718"/>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633641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28E8C"/>
  <w15:docId w15:val="{2713EB3A-FF37-4638-9C16-40FD66DD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autoRedefine/>
    <w:uiPriority w:val="99"/>
    <w:qFormat/>
    <w:rPr>
      <w:sz w:val="18"/>
      <w:szCs w:val="18"/>
    </w:rPr>
  </w:style>
  <w:style w:type="character" w:customStyle="1" w:styleId="a6">
    <w:name w:val="页眉 字符"/>
    <w:link w:val="a5"/>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2025-08-26T01:46:00Z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